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spacing w:lineRule="auto" w:line="276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</w:r>
    </w:p>
    <w:p>
      <w:pPr>
        <w:pStyle w:val="Normal"/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</w:r>
    </w:p>
    <w:p>
      <w:pPr>
        <w:pStyle w:val="Normal"/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</w:r>
    </w:p>
    <w:p>
      <w:pPr>
        <w:pStyle w:val="Normal"/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</w:r>
    </w:p>
    <w:p>
      <w:pPr>
        <w:pStyle w:val="Normal"/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</w:r>
    </w:p>
    <w:p>
      <w:pPr>
        <w:pStyle w:val="Normal"/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  <w:t>Технические требования к закупаемой продукции</w:t>
      </w:r>
    </w:p>
    <w:p>
      <w:pPr>
        <w:pStyle w:val="Normal"/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по лоту № </w:t>
      </w:r>
    </w:p>
    <w:p>
      <w:pPr>
        <w:pStyle w:val="Normal"/>
        <w:spacing w:lineRule="auto" w:line="276"/>
        <w:jc w:val="center"/>
        <w:rPr>
          <w:rFonts w:eastAsia="Times New Roman"/>
          <w:b/>
          <w:kern w:val="2"/>
          <w:sz w:val="26"/>
          <w:szCs w:val="26"/>
        </w:rPr>
      </w:pPr>
      <w:r>
        <w:rPr>
          <w:rFonts w:eastAsia="Times New Roman"/>
          <w:b/>
          <w:kern w:val="2"/>
          <w:sz w:val="26"/>
          <w:szCs w:val="26"/>
        </w:rPr>
      </w:r>
    </w:p>
    <w:p>
      <w:pPr>
        <w:pStyle w:val="Normal"/>
        <w:spacing w:lineRule="auto" w:line="276"/>
        <w:jc w:val="center"/>
        <w:rPr>
          <w:b/>
        </w:rPr>
      </w:pPr>
      <w:r>
        <w:rPr>
          <w:b/>
        </w:rPr>
        <w:t>ОКПД 2:  Поставка тракторной техники в рамках</w:t>
      </w:r>
    </w:p>
    <w:p>
      <w:pPr>
        <w:pStyle w:val="Normal"/>
        <w:spacing w:lineRule="auto" w:line="276"/>
        <w:jc w:val="center"/>
        <w:rPr>
          <w:b/>
        </w:rPr>
      </w:pPr>
      <w:r>
        <w:rPr>
          <w:b/>
        </w:rPr>
        <w:t>выполнения инвестиционных проектов</w:t>
      </w:r>
    </w:p>
    <w:p>
      <w:pPr>
        <w:pStyle w:val="Normal"/>
        <w:spacing w:lineRule="auto" w:line="276"/>
        <w:jc w:val="center"/>
        <w:rPr>
          <w:b/>
        </w:rPr>
      </w:pPr>
      <w:r>
        <w:rPr>
          <w:b/>
        </w:rPr>
      </w:r>
    </w:p>
    <w:p>
      <w:pPr>
        <w:pStyle w:val="Normal"/>
        <w:spacing w:lineRule="auto" w:line="276"/>
        <w:jc w:val="center"/>
        <w:rPr/>
      </w:pPr>
      <w:r>
        <w:rPr/>
      </w:r>
    </w:p>
    <w:p>
      <w:pPr>
        <w:pStyle w:val="Normal"/>
        <w:rPr>
          <w:b/>
        </w:rPr>
      </w:pPr>
      <w:r>
        <w:rPr>
          <w:sz w:val="24"/>
          <w:szCs w:val="24"/>
        </w:rPr>
      </w:r>
      <w:r>
        <w:br w:type="page"/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sdt>
      <w:sdtPr>
        <w:docPartObj>
          <w:docPartGallery w:val="Table of Contents"/>
          <w:docPartUnique w:val="true"/>
        </w:docPartObj>
        <w:id w:val="141170719"/>
      </w:sdtPr>
      <w:sdtContent>
        <w:p>
          <w:pPr>
            <w:pStyle w:val="TOCHeading"/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</w:p>
        <w:p>
          <w:pPr>
            <w:pStyle w:val="TOC1"/>
            <w:numPr>
              <w:ilvl w:val="0"/>
              <w:numId w:val="4"/>
            </w:numPr>
            <w:jc w:val="both"/>
            <w:rPr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Общие сведения</w:t>
          </w:r>
          <w:r>
            <w:rPr>
              <w:sz w:val="24"/>
              <w:szCs w:val="24"/>
            </w:rPr>
            <w:tab/>
            <w:t xml:space="preserve">   3</w:t>
          </w:r>
        </w:p>
        <w:p>
          <w:pPr>
            <w:pStyle w:val="TOC2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Обозначения и сокращения…………………………………………………………..... 3</w:t>
          </w:r>
        </w:p>
        <w:p>
          <w:pPr>
            <w:pStyle w:val="TOC2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Наименование закупаемой продукции……………………………………………….. 3</w:t>
          </w:r>
        </w:p>
        <w:p>
          <w:pPr>
            <w:pStyle w:val="TOC2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Заказчик (подразделение заказчика)………………………………………………….. 3</w:t>
          </w:r>
        </w:p>
        <w:p>
          <w:pPr>
            <w:pStyle w:val="TOC2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Цель использования закупаемой продукции…………………………………………. 3</w:t>
          </w:r>
        </w:p>
        <w:p>
          <w:pPr>
            <w:pStyle w:val="TOC1"/>
            <w:numPr>
              <w:ilvl w:val="0"/>
              <w:numId w:val="4"/>
            </w:numPr>
            <w:jc w:val="both"/>
            <w:rPr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Требования к продукции</w:t>
          </w:r>
          <w:r>
            <w:rPr>
              <w:sz w:val="24"/>
              <w:szCs w:val="24"/>
            </w:rPr>
            <w:tab/>
          </w:r>
          <w:r>
            <w:rPr>
              <w:bCs/>
              <w:sz w:val="24"/>
              <w:szCs w:val="24"/>
            </w:rPr>
            <w:t>3</w:t>
          </w:r>
        </w:p>
        <w:p>
          <w:pPr>
            <w:pStyle w:val="TOC2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Таблица 1. «Перечень и объем закупаемой продукции»……………………………...3</w:t>
          </w:r>
        </w:p>
        <w:p>
          <w:pPr>
            <w:pStyle w:val="TOC2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Таблица 2. «Требования по срокам поставки продукции»……………………………4</w:t>
          </w:r>
        </w:p>
        <w:p>
          <w:pPr>
            <w:pStyle w:val="TOC2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Таблица 3. «Требования к продукции»………………………………………………...5</w:t>
          </w:r>
        </w:p>
        <w:p>
          <w:pPr>
            <w:pStyle w:val="TOC1"/>
            <w:numPr>
              <w:ilvl w:val="0"/>
              <w:numId w:val="4"/>
            </w:numPr>
            <w:jc w:val="both"/>
            <w:rPr>
              <w:sz w:val="24"/>
              <w:szCs w:val="24"/>
            </w:rPr>
          </w:pPr>
          <w:r>
            <w:rPr>
              <w:b/>
              <w:sz w:val="24"/>
              <w:szCs w:val="24"/>
            </w:rPr>
            <w:t>Требования к документации по ценообразованию на этапе зак</w:t>
          </w:r>
          <w:r>
            <w:rPr>
              <w:b/>
              <w:bCs/>
              <w:sz w:val="24"/>
              <w:szCs w:val="24"/>
            </w:rPr>
            <w:t>упки</w:t>
            <w:tab/>
            <w:t>...36</w:t>
          </w:r>
        </w:p>
        <w:p>
          <w:pPr>
            <w:pStyle w:val="TOC3"/>
            <w:ind w:left="446" w:hanging="0"/>
            <w:rPr/>
          </w:pPr>
          <w:r>
            <w:rPr/>
          </w:r>
        </w:p>
      </w:sdtContent>
    </w:sdt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ListParagraph"/>
        <w:numPr>
          <w:ilvl w:val="0"/>
          <w:numId w:val="5"/>
        </w:numPr>
        <w:jc w:val="center"/>
        <w:rPr>
          <w:b/>
        </w:rPr>
      </w:pPr>
      <w:r>
        <w:rPr>
          <w:b/>
        </w:rPr>
        <w:t>Общие сведения</w:t>
      </w:r>
    </w:p>
    <w:p>
      <w:pPr>
        <w:pStyle w:val="ListParagraph"/>
        <w:ind w:left="360" w:hanging="0"/>
        <w:rPr>
          <w:b/>
        </w:rPr>
      </w:pPr>
      <w:r>
        <w:rPr>
          <w:b/>
        </w:rPr>
      </w:r>
    </w:p>
    <w:p>
      <w:pPr>
        <w:pStyle w:val="ListParagraph"/>
        <w:numPr>
          <w:ilvl w:val="1"/>
          <w:numId w:val="5"/>
        </w:numPr>
        <w:ind w:left="709" w:hanging="709"/>
        <w:rPr>
          <w:b/>
        </w:rPr>
      </w:pPr>
      <w:r>
        <w:rPr>
          <w:b/>
        </w:rPr>
        <w:t>Обозначения и сокращения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977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975"/>
        <w:gridCol w:w="7800"/>
      </w:tblGrid>
      <w:tr>
        <w:trPr>
          <w:tblHeader w:val="true"/>
          <w:trHeight w:val="445" w:hRule="atLeast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Термины</w:t>
            </w:r>
          </w:p>
        </w:tc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Обозначения</w:t>
            </w:r>
          </w:p>
        </w:tc>
      </w:tr>
      <w:tr>
        <w:trPr>
          <w:tblHeader w:val="true"/>
          <w:trHeight w:val="445" w:hRule="atLeast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Продукция</w:t>
            </w:r>
          </w:p>
        </w:tc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Изделия (Товары), которые являются продуктом с полностью законченной обработкой (комплектацией), соответствующие действующим стандартам или утвержденным техническим условиям.</w:t>
            </w:r>
          </w:p>
        </w:tc>
      </w:tr>
      <w:tr>
        <w:trPr>
          <w:tblHeader w:val="true"/>
          <w:trHeight w:val="285" w:hRule="atLeast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ТТ</w:t>
            </w:r>
          </w:p>
        </w:tc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Технические требования к закупаемой продукции (Товару)</w:t>
            </w:r>
          </w:p>
        </w:tc>
      </w:tr>
      <w:tr>
        <w:trPr>
          <w:trHeight w:val="274" w:hRule="atLeast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firstLine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ЗИП</w:t>
            </w:r>
          </w:p>
        </w:tc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Запасные части, инструменты и принадлежности</w:t>
            </w:r>
          </w:p>
        </w:tc>
      </w:tr>
      <w:tr>
        <w:trPr>
          <w:trHeight w:val="274" w:hRule="atLeast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firstLine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Расходные материалы</w:t>
            </w:r>
          </w:p>
        </w:tc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Различного рода материалы, которые расходуются при эксплуатации товара для обслуживания и ремонта с целью поддержания их в исправности.</w:t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numPr>
          <w:ilvl w:val="1"/>
          <w:numId w:val="5"/>
        </w:numPr>
        <w:tabs>
          <w:tab w:val="clear" w:pos="708"/>
          <w:tab w:val="left" w:pos="567" w:leader="none"/>
          <w:tab w:val="left" w:pos="709" w:leader="none"/>
        </w:tabs>
        <w:jc w:val="both"/>
        <w:rPr>
          <w:rFonts w:cs="Calibri"/>
          <w:i/>
          <w:i/>
        </w:rPr>
      </w:pPr>
      <w:r>
        <w:rPr>
          <w:b/>
          <w:bCs/>
        </w:rPr>
        <w:t xml:space="preserve">    </w:t>
      </w:r>
      <w:r>
        <w:rPr>
          <w:b/>
          <w:bCs/>
        </w:rPr>
        <w:t xml:space="preserve">Наименование закупаемой продукции </w:t>
      </w:r>
    </w:p>
    <w:p>
      <w:pPr>
        <w:pStyle w:val="ListParagraph"/>
        <w:tabs>
          <w:tab w:val="clear" w:pos="708"/>
          <w:tab w:val="left" w:pos="567" w:leader="none"/>
          <w:tab w:val="left" w:pos="709" w:leader="none"/>
        </w:tabs>
        <w:ind w:left="360" w:hanging="0"/>
        <w:rPr>
          <w:b/>
          <w:bCs/>
        </w:rPr>
      </w:pPr>
      <w:r>
        <w:rPr>
          <w:rFonts w:cs="Calibri"/>
        </w:rPr>
        <w:t>Снегоболотоход гусеничный ГАЗ-34039</w:t>
      </w:r>
    </w:p>
    <w:p>
      <w:pPr>
        <w:pStyle w:val="ListParagraph"/>
        <w:tabs>
          <w:tab w:val="clear" w:pos="708"/>
          <w:tab w:val="left" w:pos="567" w:leader="none"/>
          <w:tab w:val="left" w:pos="709" w:leader="none"/>
        </w:tabs>
        <w:ind w:left="360" w:hanging="0"/>
        <w:rPr>
          <w:b/>
        </w:rPr>
      </w:pPr>
      <w:r>
        <w:rPr>
          <w:b/>
        </w:rPr>
        <w:t>Цель использования закупаемой продукции</w:t>
      </w:r>
    </w:p>
    <w:p>
      <w:pPr>
        <w:pStyle w:val="Normal"/>
        <w:tabs>
          <w:tab w:val="clear" w:pos="708"/>
          <w:tab w:val="left" w:pos="567" w:leader="none"/>
        </w:tabs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Целью использования закупаемой продукции является эксплуатация по назначению для нужд филиалов ПАО «Якутскэнерго» Центральные электрические сети (ЦЭС) и Западные электрические сети (ЗЭС).</w:t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567" w:leader="none"/>
        </w:tabs>
        <w:ind w:left="450" w:right="-2" w:hanging="450"/>
        <w:jc w:val="center"/>
        <w:rPr>
          <w:b/>
        </w:rPr>
      </w:pPr>
      <w:r>
        <w:rPr>
          <w:b/>
        </w:rPr>
        <w:t>Требования к продукции</w:t>
      </w:r>
    </w:p>
    <w:p>
      <w:pPr>
        <w:pStyle w:val="ListParagraph"/>
        <w:numPr>
          <w:ilvl w:val="1"/>
          <w:numId w:val="3"/>
        </w:numPr>
        <w:tabs>
          <w:tab w:val="clear" w:pos="708"/>
          <w:tab w:val="left" w:pos="567" w:leader="none"/>
        </w:tabs>
        <w:spacing w:before="0" w:after="240"/>
        <w:ind w:left="1080" w:right="-2" w:hanging="1080"/>
        <w:contextualSpacing/>
        <w:jc w:val="both"/>
        <w:rPr>
          <w:b/>
        </w:rPr>
      </w:pPr>
      <w:r>
        <w:rPr>
          <w:b/>
        </w:rPr>
        <w:t>Таблица 1. «Перечень и объем закупаемой продукции»</w:t>
      </w:r>
    </w:p>
    <w:tbl>
      <w:tblPr>
        <w:tblStyle w:val="afff0"/>
        <w:tblW w:w="49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95"/>
        <w:gridCol w:w="6783"/>
        <w:gridCol w:w="1629"/>
        <w:gridCol w:w="1548"/>
      </w:tblGrid>
      <w:tr>
        <w:trPr>
          <w:trHeight w:val="678" w:hRule="atLeast"/>
        </w:trPr>
        <w:tc>
          <w:tcPr>
            <w:tcW w:w="59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DengXian" w:cs="Times New Roman"/>
                <w:kern w:val="0"/>
                <w:sz w:val="22"/>
                <w:szCs w:val="22"/>
                <w:lang w:val="ru-RU" w:eastAsia="ru-RU" w:bidi="ar-SA"/>
              </w:rPr>
              <w:t>№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DengXian" w:cs="Times New Roman"/>
                <w:kern w:val="0"/>
                <w:sz w:val="22"/>
                <w:szCs w:val="22"/>
                <w:lang w:val="ru-RU" w:eastAsia="ru-RU" w:bidi="ar-SA"/>
              </w:rPr>
              <w:t>п/п</w:t>
            </w:r>
          </w:p>
        </w:tc>
        <w:tc>
          <w:tcPr>
            <w:tcW w:w="6783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eastAsia="ru-RU" w:bidi="ar-SA"/>
              </w:rPr>
              <w:t>Наименование продукции</w:t>
            </w:r>
          </w:p>
        </w:tc>
        <w:tc>
          <w:tcPr>
            <w:tcW w:w="1629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eastAsia="ru-RU" w:bidi="ar-SA"/>
              </w:rPr>
              <w:t>Единица измерения</w:t>
            </w:r>
          </w:p>
        </w:tc>
        <w:tc>
          <w:tcPr>
            <w:tcW w:w="1548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eastAsia="ru-RU" w:bidi="ar-SA"/>
              </w:rPr>
              <w:t>Количество</w:t>
            </w:r>
          </w:p>
        </w:tc>
      </w:tr>
      <w:tr>
        <w:trPr>
          <w:trHeight w:val="144" w:hRule="atLeast"/>
        </w:trPr>
        <w:tc>
          <w:tcPr>
            <w:tcW w:w="59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DengXian" w:cs="Times New Roman"/>
                <w:b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6783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b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629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b/>
                <w:kern w:val="0"/>
                <w:sz w:val="22"/>
                <w:szCs w:val="22"/>
                <w:lang w:val="ru-RU" w:eastAsia="ru-RU" w:bidi="ar-SA"/>
              </w:rPr>
              <w:t>3</w:t>
            </w:r>
          </w:p>
        </w:tc>
        <w:tc>
          <w:tcPr>
            <w:tcW w:w="1548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b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</w:tr>
      <w:tr>
        <w:trPr>
          <w:trHeight w:val="160" w:hRule="atLeast"/>
        </w:trPr>
        <w:tc>
          <w:tcPr>
            <w:tcW w:w="59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DengXian" w:cs="Times New Roman"/>
                <w:kern w:val="0"/>
                <w:sz w:val="22"/>
                <w:szCs w:val="22"/>
                <w:lang w:val="ru-RU" w:eastAsia="ru-RU" w:bidi="ar-SA"/>
              </w:rPr>
              <w:t>1.</w:t>
            </w:r>
          </w:p>
        </w:tc>
        <w:tc>
          <w:tcPr>
            <w:tcW w:w="678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DengXian"/>
                <w:color w:val="000000"/>
                <w:sz w:val="22"/>
                <w:szCs w:val="22"/>
              </w:rPr>
            </w:pPr>
            <w:r>
              <w:rPr>
                <w:rFonts w:eastAsia="DengXi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Снегоболотоход гусеничный ГАЗ-34039</w:t>
            </w:r>
          </w:p>
        </w:tc>
        <w:tc>
          <w:tcPr>
            <w:tcW w:w="1629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eastAsia="ru-RU" w:bidi="ar-SA"/>
              </w:rPr>
              <w:t>шт.</w:t>
            </w:r>
          </w:p>
        </w:tc>
        <w:tc>
          <w:tcPr>
            <w:tcW w:w="154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eastAsia="DengXi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</w:tr>
    </w:tbl>
    <w:p>
      <w:pPr>
        <w:pStyle w:val="ListParagraph"/>
        <w:tabs>
          <w:tab w:val="clear" w:pos="708"/>
          <w:tab w:val="left" w:pos="567" w:leader="none"/>
        </w:tabs>
        <w:ind w:left="1080" w:right="-2" w:hanging="0"/>
        <w:jc w:val="both"/>
        <w:rPr>
          <w:b/>
        </w:rPr>
      </w:pPr>
      <w:r>
        <w:rPr>
          <w:b/>
        </w:rPr>
      </w:r>
    </w:p>
    <w:p>
      <w:pPr>
        <w:pStyle w:val="ListParagraph"/>
        <w:tabs>
          <w:tab w:val="clear" w:pos="708"/>
          <w:tab w:val="left" w:pos="567" w:leader="none"/>
        </w:tabs>
        <w:ind w:left="1080" w:right="-2" w:hanging="0"/>
        <w:jc w:val="both"/>
        <w:rPr>
          <w:b/>
        </w:rPr>
      </w:pPr>
      <w:r>
        <w:rPr>
          <w:b/>
        </w:rPr>
      </w:r>
    </w:p>
    <w:p>
      <w:pPr>
        <w:pStyle w:val="ListParagraph"/>
        <w:numPr>
          <w:ilvl w:val="1"/>
          <w:numId w:val="3"/>
        </w:numPr>
        <w:tabs>
          <w:tab w:val="clear" w:pos="708"/>
          <w:tab w:val="left" w:pos="567" w:leader="none"/>
        </w:tabs>
        <w:spacing w:before="0" w:after="240"/>
        <w:ind w:left="1077" w:hanging="1077"/>
        <w:contextualSpacing/>
        <w:jc w:val="both"/>
        <w:rPr>
          <w:b/>
        </w:rPr>
      </w:pPr>
      <w:r>
        <w:rPr>
          <w:b/>
        </w:rPr>
        <w:t>Таблица 2. «Требования по срокам поставки продукции»</w:t>
      </w:r>
    </w:p>
    <w:tbl>
      <w:tblPr>
        <w:tblStyle w:val="afff0"/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00"/>
        <w:gridCol w:w="4459"/>
        <w:gridCol w:w="2213"/>
        <w:gridCol w:w="3399"/>
      </w:tblGrid>
      <w:tr>
        <w:trPr/>
        <w:tc>
          <w:tcPr>
            <w:tcW w:w="7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DengXian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№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DengXian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п/п</w:t>
            </w:r>
          </w:p>
        </w:tc>
        <w:tc>
          <w:tcPr>
            <w:tcW w:w="4459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Наименование продукции</w:t>
            </w:r>
          </w:p>
        </w:tc>
        <w:tc>
          <w:tcPr>
            <w:tcW w:w="2213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Требования к началу срока поставки продукции</w:t>
            </w:r>
          </w:p>
        </w:tc>
        <w:tc>
          <w:tcPr>
            <w:tcW w:w="3399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Требования к окончанию срока к поставки продукции</w:t>
            </w:r>
          </w:p>
        </w:tc>
      </w:tr>
      <w:tr>
        <w:trPr/>
        <w:tc>
          <w:tcPr>
            <w:tcW w:w="7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DengXian"/>
              </w:rPr>
            </w:pPr>
            <w:r>
              <w:rPr>
                <w:rFonts w:eastAsia="DengXian" w:cs="Times New Roman"/>
                <w:b/>
                <w:kern w:val="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4459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b/>
                <w:kern w:val="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2213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b/>
                <w:kern w:val="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3399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b/>
                <w:kern w:val="0"/>
                <w:sz w:val="20"/>
                <w:szCs w:val="20"/>
                <w:lang w:val="ru-RU" w:eastAsia="ru-RU" w:bidi="ar-SA"/>
              </w:rPr>
              <w:t>4</w:t>
            </w:r>
          </w:p>
        </w:tc>
      </w:tr>
      <w:tr>
        <w:trPr>
          <w:trHeight w:val="576" w:hRule="atLeast"/>
        </w:trPr>
        <w:tc>
          <w:tcPr>
            <w:tcW w:w="7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DengXian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1.</w:t>
            </w:r>
          </w:p>
        </w:tc>
        <w:tc>
          <w:tcPr>
            <w:tcW w:w="445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DengXian"/>
                <w:color w:val="000000"/>
                <w:sz w:val="22"/>
                <w:szCs w:val="22"/>
              </w:rPr>
            </w:pPr>
            <w:r>
              <w:rPr>
                <w:rFonts w:eastAsia="DengXi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Снегоболотоход гусеничный ГАЗ-34039</w:t>
            </w:r>
          </w:p>
        </w:tc>
        <w:tc>
          <w:tcPr>
            <w:tcW w:w="2213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 даты подписания договора</w:t>
            </w:r>
          </w:p>
        </w:tc>
        <w:tc>
          <w:tcPr>
            <w:tcW w:w="339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DengXian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Не позднее 90 дней с даты подписания договора</w:t>
            </w:r>
          </w:p>
        </w:tc>
      </w:tr>
    </w:tbl>
    <w:p>
      <w:pPr>
        <w:sectPr>
          <w:type w:val="nextPage"/>
          <w:pgSz w:w="11906" w:h="16838"/>
          <w:pgMar w:left="567" w:right="567" w:gutter="0" w:header="0" w:top="567" w:footer="0" w:bottom="1134"/>
          <w:pgNumType w:fmt="decimal"/>
          <w:formProt w:val="false"/>
          <w:textDirection w:val="lrTb"/>
          <w:docGrid w:type="default" w:linePitch="381" w:charSpace="0"/>
        </w:sectPr>
      </w:pPr>
      <w:r>
        <w:br w:type="page"/>
      </w:r>
    </w:p>
    <w:p>
      <w:pPr>
        <w:pStyle w:val="ListParagraph"/>
        <w:numPr>
          <w:ilvl w:val="1"/>
          <w:numId w:val="3"/>
        </w:numPr>
        <w:tabs>
          <w:tab w:val="clear" w:pos="708"/>
          <w:tab w:val="left" w:pos="567" w:leader="none"/>
        </w:tabs>
        <w:ind w:left="1080" w:right="-2" w:hanging="1080"/>
        <w:jc w:val="both"/>
        <w:rPr>
          <w:b/>
          <w:bCs/>
        </w:rPr>
      </w:pPr>
      <w:r>
        <w:rPr>
          <w:b/>
          <w:bCs/>
        </w:rPr>
        <w:t>Таблица 3. «Требования к продукции»</w:t>
      </w:r>
    </w:p>
    <w:p>
      <w:pPr>
        <w:pStyle w:val="ListParagraph"/>
        <w:tabs>
          <w:tab w:val="clear" w:pos="708"/>
          <w:tab w:val="left" w:pos="567" w:leader="none"/>
        </w:tabs>
        <w:ind w:left="1080" w:hanging="0"/>
        <w:jc w:val="both"/>
        <w:rPr>
          <w:b/>
          <w:bCs/>
        </w:rPr>
      </w:pPr>
      <w:r>
        <w:rPr>
          <w:b/>
          <w:bCs/>
        </w:rPr>
      </w:r>
    </w:p>
    <w:p>
      <w:pPr>
        <w:pStyle w:val="ListParagraph"/>
        <w:ind w:left="0" w:right="-31" w:firstLine="543"/>
        <w:jc w:val="both"/>
        <w:rPr/>
      </w:pPr>
      <w:r>
        <w:rPr>
          <w:color w:val="000000"/>
        </w:rPr>
        <w:t>Участник должен принять во внимание, что ссылка на марку (тип) продукции, указанной в настоящих Технических требованиях и структуре НМЦ, носит описательный, а не обязательный характер. В случае если Участником предлагаются эквивалент требуемой Заказчику продукции, в составе своего предложения он должен в обязательном порядке указать марку и подробное техническое описание предлагаемого к поставке эквивалента.</w:t>
      </w:r>
      <w:r>
        <w:rPr/>
        <w:t xml:space="preserve"> </w:t>
      </w:r>
    </w:p>
    <w:p>
      <w:pPr>
        <w:pStyle w:val="ListParagraph"/>
        <w:ind w:left="0" w:right="-31" w:firstLine="543"/>
        <w:jc w:val="both"/>
        <w:rPr>
          <w:color w:val="000000"/>
        </w:rPr>
      </w:pPr>
      <w:r>
        <w:rPr>
          <w:color w:val="000000"/>
        </w:rPr>
        <w:t>Эквивалентная продукция – это продукция, которая по техническим и функциональным характеристикам не уступает характеристикам, заявленным в документации о закупке, в том числе, по гарантийным срокам и срокам эксплуатации. Отсутствие в составе технико-коммерческого предложения подробного технического описания эквивалента продукции является причиной отклонения предложения Участника.</w:t>
      </w:r>
    </w:p>
    <w:p>
      <w:pPr>
        <w:pStyle w:val="ListParagraph"/>
        <w:tabs>
          <w:tab w:val="clear" w:pos="708"/>
          <w:tab w:val="left" w:pos="567" w:leader="none"/>
        </w:tabs>
        <w:ind w:left="1080" w:hanging="0"/>
        <w:jc w:val="both"/>
        <w:rPr>
          <w:b/>
          <w:bCs/>
        </w:rPr>
      </w:pPr>
      <w:r>
        <w:rPr>
          <w:b/>
          <w:bCs/>
        </w:rPr>
      </w:r>
    </w:p>
    <w:tbl>
      <w:tblPr>
        <w:tblStyle w:val="afff0"/>
        <w:tblW w:w="500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43"/>
        <w:gridCol w:w="3065"/>
        <w:gridCol w:w="4924"/>
        <w:gridCol w:w="2337"/>
        <w:gridCol w:w="2201"/>
        <w:gridCol w:w="1866"/>
      </w:tblGrid>
      <w:tr>
        <w:trPr>
          <w:trHeight w:val="20" w:hRule="atLeast"/>
        </w:trPr>
        <w:tc>
          <w:tcPr>
            <w:tcW w:w="743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DengXian" w:cs="Times New Roman"/>
                <w:bCs/>
                <w:kern w:val="0"/>
                <w:sz w:val="20"/>
                <w:szCs w:val="20"/>
                <w:lang w:val="ru-RU" w:eastAsia="ru-RU" w:bidi="ar-SA"/>
              </w:rPr>
              <w:t>№</w:t>
            </w:r>
            <w:r>
              <w:rPr>
                <w:rFonts w:eastAsia="DengXian" w:cs="Times New Roman"/>
                <w:bCs/>
                <w:kern w:val="0"/>
                <w:sz w:val="20"/>
                <w:szCs w:val="20"/>
                <w:lang w:val="ru-RU" w:eastAsia="ru-RU" w:bidi="ar-SA"/>
              </w:rPr>
              <w:t>п.п</w:t>
            </w:r>
          </w:p>
        </w:tc>
        <w:tc>
          <w:tcPr>
            <w:tcW w:w="3065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Cs/>
                <w:kern w:val="0"/>
                <w:sz w:val="20"/>
                <w:szCs w:val="20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4924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Cs/>
                <w:kern w:val="0"/>
                <w:sz w:val="20"/>
                <w:szCs w:val="20"/>
                <w:lang w:val="ru-RU" w:eastAsia="ru-RU" w:bidi="ar-SA"/>
              </w:rPr>
              <w:t>Требование заказчика</w:t>
            </w:r>
          </w:p>
        </w:tc>
        <w:tc>
          <w:tcPr>
            <w:tcW w:w="6404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bCs/>
                <w:kern w:val="0"/>
                <w:sz w:val="20"/>
                <w:szCs w:val="20"/>
                <w:lang w:val="ru-RU" w:eastAsia="ru-RU" w:bidi="ar-SA"/>
              </w:rPr>
              <w:t>Способ подтверждения участником соответствие требованиям</w:t>
            </w:r>
          </w:p>
        </w:tc>
      </w:tr>
      <w:tr>
        <w:trPr>
          <w:trHeight w:val="20" w:hRule="atLeast"/>
        </w:trPr>
        <w:tc>
          <w:tcPr>
            <w:tcW w:w="743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3065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4924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2337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DengXian" w:cs="Times New Roman"/>
                <w:bCs/>
                <w:kern w:val="0"/>
                <w:sz w:val="20"/>
                <w:szCs w:val="20"/>
                <w:lang w:val="ru-RU" w:eastAsia="ru-RU" w:bidi="ar-SA"/>
              </w:rPr>
              <w:t>Согласие с требованием/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DengXian" w:cs="Times New Roman"/>
                <w:bCs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bCs/>
                <w:kern w:val="0"/>
                <w:sz w:val="20"/>
                <w:szCs w:val="20"/>
                <w:lang w:val="ru-RU" w:eastAsia="ru-RU" w:bidi="ar-SA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Cs/>
                <w:kern w:val="0"/>
                <w:sz w:val="20"/>
                <w:szCs w:val="20"/>
                <w:lang w:val="ru-RU" w:eastAsia="ru-RU" w:bidi="ar-SA"/>
              </w:rPr>
              <w:t>Предложение  участника по характеристикам и параметрам</w:t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5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6</w:t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sz w:val="20"/>
                <w:szCs w:val="20"/>
              </w:rPr>
            </w:pPr>
            <w:r>
              <w:rPr>
                <w:rFonts w:eastAsia="DengXian" w:cs="Times New Roman"/>
                <w:b/>
                <w:kern w:val="0"/>
                <w:sz w:val="20"/>
                <w:szCs w:val="20"/>
                <w:lang w:val="ru-RU" w:eastAsia="ru-RU" w:bidi="ar-SA"/>
              </w:rPr>
              <w:t>1.</w:t>
            </w:r>
          </w:p>
        </w:tc>
        <w:tc>
          <w:tcPr>
            <w:tcW w:w="7989" w:type="dxa"/>
            <w:gridSpan w:val="2"/>
            <w:tcBorders/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eastAsia="DengXian"/>
                <w:b/>
                <w:color w:val="000000"/>
                <w:sz w:val="22"/>
                <w:szCs w:val="22"/>
              </w:rPr>
            </w:pPr>
            <w:r>
              <w:rPr>
                <w:rFonts w:eastAsia="DengXian" w:cs="Times New Roman"/>
                <w:b/>
                <w:color w:val="000000"/>
                <w:kern w:val="0"/>
                <w:sz w:val="22"/>
                <w:szCs w:val="22"/>
                <w:lang w:val="ru-RU" w:eastAsia="ru-RU" w:bidi="ar-SA"/>
              </w:rPr>
              <w:t>Снегоболотоход гусеничный ГАЗ-34039</w:t>
            </w:r>
          </w:p>
        </w:tc>
        <w:tc>
          <w:tcPr>
            <w:tcW w:w="2337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  <w:highlight w:val="lightGray"/>
              </w:rPr>
            </w:pPr>
            <w:r>
              <w:rPr>
                <w:rFonts w:eastAsia="DengXian" w:cs="Times New Roman"/>
                <w:b/>
                <w:kern w:val="0"/>
                <w:sz w:val="20"/>
                <w:szCs w:val="20"/>
                <w:highlight w:val="lightGray"/>
                <w:lang w:val="ru-RU" w:eastAsia="ru-RU" w:bidi="ar-SA"/>
              </w:rPr>
              <w:t>-//-</w:t>
            </w:r>
          </w:p>
        </w:tc>
        <w:tc>
          <w:tcPr>
            <w:tcW w:w="2201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  <w:highlight w:val="lightGray"/>
              </w:rPr>
            </w:pPr>
            <w:r>
              <w:rPr>
                <w:rFonts w:eastAsia="DengXian" w:cs="Times New Roman"/>
                <w:b/>
                <w:kern w:val="0"/>
                <w:sz w:val="20"/>
                <w:szCs w:val="20"/>
                <w:highlight w:val="lightGray"/>
                <w:lang w:val="ru-RU" w:eastAsia="ru-RU" w:bidi="ar-SA"/>
              </w:rPr>
              <w:t>-//-</w:t>
            </w:r>
          </w:p>
        </w:tc>
        <w:tc>
          <w:tcPr>
            <w:tcW w:w="1866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  <w:highlight w:val="lightGray"/>
              </w:rPr>
            </w:pPr>
            <w:r>
              <w:rPr>
                <w:b/>
                <w:bCs/>
                <w:sz w:val="20"/>
                <w:szCs w:val="20"/>
                <w:highlight w:val="lightGray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798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Требования к техническим и функциональным характеристикам: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Базовое шасси: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20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86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Марка, модель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 xml:space="preserve">«ГАЗ-34039 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Колесная формула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гусеничная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  <w:shd w:fill="FFFFFF" w:val="clear"/>
              </w:rPr>
            </w:pPr>
            <w:r>
              <w:rPr>
                <w:sz w:val="20"/>
                <w:szCs w:val="20"/>
                <w:shd w:fill="FFFFFF" w:val="clear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Шины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РМШ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  <w:shd w:fill="FFFFFF" w:val="clear"/>
              </w:rPr>
            </w:pPr>
            <w:r>
              <w:rPr>
                <w:sz w:val="20"/>
                <w:szCs w:val="20"/>
                <w:shd w:fill="FFFFFF" w:val="clear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Полная масса, кг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Не менее 1250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Двигатель: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Тип двигателя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 xml:space="preserve">Дизельный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 турбонаддувом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Марка, модель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«Д-245»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 xml:space="preserve">Мощность, л.с. 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Не менее 108,8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Экологический стандарт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Не менее Евро 3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Кабина: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Тип кабины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exact" w:line="246" w:before="0" w:after="0"/>
              <w:contextualSpacing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bidi="ar-SA"/>
              </w:rPr>
              <w:t xml:space="preserve">Цельнометаллическая,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bidi="ar-SA"/>
              </w:rPr>
              <w:t>рядная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Пассажировместимость в кабине, чел.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Не менее 8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Количество дверей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Не менее 3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Ремни безопасности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6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Система питания: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20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86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Вместимость топливного бака, л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Не менее 270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798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Комплексная доработка "Северное исполнение":</w:t>
            </w:r>
          </w:p>
        </w:tc>
        <w:tc>
          <w:tcPr>
            <w:tcW w:w="233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20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86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Утепление кабины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Утеплитель капотного отсека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6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 xml:space="preserve">Установка автономного отопителя 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«Вебасто»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Ящик ЗИП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Да</w:t>
            </w:r>
            <w:bookmarkStart w:id="0" w:name="_GoBack"/>
            <w:bookmarkEnd w:id="0"/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Все технические жидкости синтетические, всесезонные. (гидравлическое масло до -60 С)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DengXi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798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sz w:val="20"/>
                <w:szCs w:val="20"/>
              </w:rPr>
            </w:pPr>
            <w:r>
              <w:rPr>
                <w:rFonts w:eastAsia="DengXian" w:cs="Times New Roman"/>
                <w:b/>
                <w:kern w:val="0"/>
                <w:sz w:val="20"/>
                <w:szCs w:val="20"/>
                <w:lang w:val="ru-RU" w:eastAsia="ru-RU" w:bidi="ar-SA"/>
              </w:rPr>
              <w:t>Дополнительные требования к комплектации: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20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86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Медицинская аптечка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Знак аварийной остановки, 2 шт., не менее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Огнетушитель ОП-5</w:t>
            </w:r>
          </w:p>
        </w:tc>
        <w:tc>
          <w:tcPr>
            <w:tcW w:w="4924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2 шт.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Система «ЭРА-ГЛОНАСС»</w:t>
            </w:r>
          </w:p>
        </w:tc>
        <w:tc>
          <w:tcPr>
            <w:tcW w:w="4924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798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Требования к климатическому исполнению и стойкости к воздействующим климатическим факторам: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20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86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Климатическое исполнение и категория размещения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Северное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Температура окружающего воздуха, мин/макс, ºС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-50 / +40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798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Требования к экономическим параметрам поставляемой продукции: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20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86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Назначенный срок службы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Не менее 10 лет со дня ввода в эксплуатацию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Heading1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b w:val="false"/>
                <w:bCs/>
                <w:sz w:val="20"/>
                <w:lang w:val="ru-RU"/>
              </w:rPr>
            </w:pPr>
            <w:r>
              <w:rPr>
                <w:b w:val="false"/>
                <w:bCs/>
                <w:sz w:val="20"/>
                <w:lang w:val="ru-RU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Heading1"/>
              <w:widowControl w:val="false"/>
              <w:suppressAutoHyphens w:val="true"/>
              <w:spacing w:before="0" w:after="0"/>
              <w:contextualSpacing/>
              <w:jc w:val="left"/>
              <w:rPr>
                <w:b w:val="false"/>
                <w:bCs/>
                <w:sz w:val="20"/>
                <w:lang w:val="ru-RU"/>
              </w:rPr>
            </w:pPr>
            <w:r>
              <w:rPr>
                <w:rFonts w:eastAsia="DengXian" w:cs="Times New Roman"/>
                <w:b w:val="false"/>
                <w:bCs/>
                <w:kern w:val="0"/>
                <w:sz w:val="20"/>
                <w:lang w:val="ru-RU" w:bidi="ar-SA"/>
              </w:rPr>
              <w:t>Изготовление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Продукция должна быть серийного, промышленного производства, произведенной заводом изготовителем с опытом выпуска данной продукции не менее пяти лет, поставляемая продукция должна быть новой, не бывшей в употреблении, изготовленной не ранее 2026г.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DengXi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Коэффициент готовности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Готовность к эксплуатации с момента получения автомобиля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798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Требования к доставке, маркировке, упаковке, транспортировке, условиям хранения: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20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86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Место доставки продукции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Республика Саха (Якутия), пос.</w:t>
            </w:r>
            <w:r>
              <w:rPr>
                <w:rFonts w:eastAsia="DengXian" w:cs="Times New Roman"/>
                <w:spacing w:val="-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Нижний Бестях</w:t>
            </w:r>
            <w:r>
              <w:rPr>
                <w:rFonts w:eastAsia="DengXian" w:cs="Times New Roman"/>
                <w:spacing w:val="-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(ул.</w:t>
            </w:r>
            <w:r>
              <w:rPr>
                <w:rFonts w:eastAsia="DengXian" w:cs="Times New Roman"/>
                <w:spacing w:val="-2"/>
                <w:kern w:val="0"/>
                <w:sz w:val="20"/>
                <w:szCs w:val="20"/>
                <w:lang w:val="ru-RU" w:eastAsia="ru-RU" w:bidi="ar-SA"/>
              </w:rPr>
              <w:t xml:space="preserve"> Л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енина, д.</w:t>
            </w:r>
            <w:r>
              <w:rPr>
                <w:rFonts w:eastAsia="DengXian" w:cs="Times New Roman"/>
                <w:spacing w:val="-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117А)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Способ доставки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Перегон своим ходом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Условия доставки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 проведением регламентированного ТО в пути следования и предпродажной подготовки в месте доставки, согласно инструкции по эксплуатации шасси, с обязательным предоставлением подтверждающих документов.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Маркировка продукции при приёме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Серийный заводской номер (VIN), шильд завода изготовителя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798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Прочие требования к продукции: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20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86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 xml:space="preserve">Соответствие продукции техническому регламенту Таможенного союза «О безопасности колёсных транспортных средств» (ИР ТС 018/2011)  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Подтверждается предоставлением вместе с продукцией одного из следующих документов: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60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 xml:space="preserve">для транспортных средств, оценка соответствия которых проводилась в форме одобрения типа, — одобрение типа транспортного средства; 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60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для шасси — одобрение типа шасси;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60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для единичных транспортных средств — свидетельство о безопасности конструкции транспортного средства;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60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для компонентов транспортных средств — декларация о соответствии или сертификат соответствия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 xml:space="preserve">Соответствие оборудования (КМУ) техническому регламенту Таможенного союза «О безопасности машин и оборудования» (ТР ТС 010/2011)  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Подтверждается предоставлением вместе с продукцией одного из следующих документов: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60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 xml:space="preserve">декларацией о соответствии; 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60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сертификатом соответствия.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Срок гарантии на продукцию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Гарантийный срок на поставляемую продукцию устанавливается предприятием – изготовителем Товара, начинает течь с даты подписания Сторонами накладной ТОРГ-12 и должен составлять в зависимости от того, что наступит ранее: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 на шасси не менее 24 месяцев или 100 000 км;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rFonts w:eastAsia="DengXian"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 на подъёмник не менее 12 месяцев или 1000 моточасов.</w:t>
            </w:r>
            <w:r>
              <w:rPr>
                <w:rFonts w:eastAsia="DengXian" w:cs="Times New Roman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2.1.</w:t>
              <w:tab/>
              <w:t>Таблица 2. «Требования по срокам поставки продукции»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Гарантийный срок может быть продлен в соответствии с условиями Договора.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Объем комплектации продукции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8" w:right="297" w:firstLine="3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bidi="ar-SA"/>
              </w:rPr>
              <w:t>Специальный инструмент и принадлежности заводов-</w:t>
            </w:r>
            <w:r>
              <w:rPr>
                <w:rFonts w:eastAsia="DengXian" w:cs="Times New Roman"/>
                <w:spacing w:val="1"/>
                <w:kern w:val="0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bidi="ar-SA"/>
              </w:rPr>
              <w:t>изготовителей шасси и подъёмника (ЗИП комплект) – 1</w:t>
            </w:r>
            <w:r>
              <w:rPr>
                <w:rFonts w:eastAsia="DengXian" w:cs="Times New Roman"/>
                <w:spacing w:val="-52"/>
                <w:kern w:val="0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bidi="ar-SA"/>
              </w:rPr>
              <w:t>комплект.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52" w:before="0" w:after="0"/>
              <w:ind w:left="18" w:right="124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bidi="ar-SA"/>
              </w:rPr>
              <w:t>Паспорт транспортного средства – 1 шт.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52" w:before="0" w:after="0"/>
              <w:ind w:left="18" w:right="124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bidi="ar-SA"/>
              </w:rPr>
              <w:t xml:space="preserve">Паспорт установки — 3 шт. (оригинал, заверенная производителем копия, электронная копия); Руководство по эксплуатации на русском языке – 1 шт. (оригинал, заверенная производителем копия, электронная копия);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8" w:hanging="0"/>
              <w:contextualSpacing/>
              <w:jc w:val="left"/>
              <w:rPr>
                <w:rFonts w:eastAsia="DengXian"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 xml:space="preserve">Сервисная книжка на русском языке — 1 шт.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Заверенная копия свидетельства (сертификата,</w:t>
            </w:r>
            <w:r>
              <w:rPr>
                <w:rFonts w:eastAsia="DengXian" w:cs="Times New Roman"/>
                <w:spacing w:val="-5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декларации)</w:t>
            </w:r>
            <w:r>
              <w:rPr>
                <w:rFonts w:eastAsia="DengXian" w:cs="Times New Roman"/>
                <w:spacing w:val="5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соответствия</w:t>
            </w:r>
            <w:r>
              <w:rPr>
                <w:rFonts w:eastAsia="DengXian" w:cs="Times New Roman"/>
                <w:spacing w:val="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– 1 шт.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TOC1"/>
        <w:numPr>
          <w:ilvl w:val="0"/>
          <w:numId w:val="0"/>
        </w:numPr>
        <w:tabs>
          <w:tab w:val="left" w:pos="426" w:leader="none"/>
          <w:tab w:val="left" w:pos="567" w:leader="none"/>
          <w:tab w:val="left" w:pos="2268" w:leader="none"/>
          <w:tab w:val="right" w:pos="9639" w:leader="dot"/>
        </w:tabs>
        <w:ind w:left="0" w:hanging="0"/>
        <w:outlineLvl w:val="0"/>
        <w:rPr>
          <w:b/>
        </w:rPr>
      </w:pPr>
      <w:r>
        <w:rPr>
          <w:b/>
        </w:rPr>
      </w:r>
    </w:p>
    <w:p>
      <w:pPr>
        <w:pStyle w:val="TOC1"/>
        <w:numPr>
          <w:ilvl w:val="0"/>
          <w:numId w:val="0"/>
        </w:numPr>
        <w:tabs>
          <w:tab w:val="left" w:pos="426" w:leader="none"/>
          <w:tab w:val="left" w:pos="567" w:leader="none"/>
          <w:tab w:val="left" w:pos="2268" w:leader="none"/>
          <w:tab w:val="right" w:pos="9639" w:leader="dot"/>
        </w:tabs>
        <w:ind w:left="720" w:hanging="0"/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3. Требования к документации по ценообразованию на этапе закупки</w:t>
      </w:r>
    </w:p>
    <w:p>
      <w:pPr>
        <w:pStyle w:val="ListParagraph"/>
        <w:numPr>
          <w:ilvl w:val="0"/>
          <w:numId w:val="6"/>
        </w:numPr>
        <w:ind w:left="851" w:hanging="360"/>
        <w:jc w:val="both"/>
        <w:rPr>
          <w:sz w:val="22"/>
          <w:szCs w:val="22"/>
        </w:rPr>
      </w:pPr>
      <w:r>
        <w:rPr>
          <w:sz w:val="22"/>
          <w:szCs w:val="22"/>
        </w:rPr>
        <w:t>В обоснование стоимости своей заявке Участник предоставляет Коммерческое предложение по форме, приведенной в Документации о закупке.</w:t>
      </w:r>
    </w:p>
    <w:p>
      <w:pPr>
        <w:pStyle w:val="ListParagraph"/>
        <w:numPr>
          <w:ilvl w:val="0"/>
          <w:numId w:val="6"/>
        </w:numPr>
        <w:ind w:left="851" w:hanging="360"/>
        <w:jc w:val="both"/>
        <w:rPr>
          <w:sz w:val="22"/>
          <w:szCs w:val="22"/>
        </w:rPr>
      </w:pPr>
      <w:r>
        <w:rPr>
          <w:sz w:val="22"/>
          <w:szCs w:val="22"/>
        </w:rPr>
        <w:t>Дополнительные документы по ценообразованию в состав заявки не включаются.</w:t>
      </w:r>
    </w:p>
    <w:p>
      <w:pPr>
        <w:pStyle w:val="ListParagraph"/>
        <w:ind w:left="851" w:hanging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4. В составе заявки необходимо предоставить: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Участник в составе своей заявки для подтверждения соответствия заявленных характеристик и конструктива предложенной продукции поставляемой продукции, требованиям настоящих ТТ, предоставляет следующие документы: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– </w:t>
      </w:r>
      <w:r>
        <w:rPr>
          <w:sz w:val="22"/>
          <w:szCs w:val="22"/>
        </w:rPr>
        <w:t>Техническое предложение, подготовленное в соответствии с настоящими ТТ по форме, представленной в документации о закупке.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– </w:t>
      </w:r>
      <w:r>
        <w:rPr>
          <w:sz w:val="22"/>
          <w:szCs w:val="22"/>
        </w:rPr>
        <w:t>Документы и информацию, подтверждающие страну происхождения товара в соответствии с требованиями Постановления Правительства Российской Федерации от 23 декабря 2024 г. N 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лиц”.</w:t>
      </w:r>
    </w:p>
    <w:p>
      <w:pPr>
        <w:pStyle w:val="Normal"/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b/>
          <w:sz w:val="22"/>
          <w:szCs w:val="22"/>
        </w:rPr>
        <w:t>Квалификационные требования к участнику не установлены.</w:t>
      </w:r>
    </w:p>
    <w:sectPr>
      <w:type w:val="nextPage"/>
      <w:pgSz w:orient="landscape" w:w="16838" w:h="11906"/>
      <w:pgMar w:left="1134" w:right="567" w:gutter="0" w:header="0" w:top="567" w:footer="0" w:bottom="567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Cambria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alibri Light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i w:val="false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i w:val="false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180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  <w:rPr/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decimal"/>
      <w:lvlText w:val="%1"/>
      <w:lvlJc w:val="left"/>
      <w:pPr>
        <w:tabs>
          <w:tab w:val="num" w:pos="0"/>
        </w:tabs>
        <w:ind w:left="720" w:hanging="55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等线" w:cs="Times New Roman" w:eastAsiaTheme="minorEastAsia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semiHidden="1"/>
    <w:lsdException w:name="toc 2" w:uiPriority="39" w:semiHidden="1" w:qFormat="1"/>
    <w:lsdException w:name="toc 3" w:uiPriority="39" w:semiHidden="1"/>
    <w:lsdException w:name="toc 4" w:semiHidden="1" w:qFormat="1"/>
    <w:lsdException w:name="toc 5" w:semiHidden="1" w:qFormat="1"/>
    <w:lsdException w:name="toc 9" w:semiHidden="1" w:qFormat="1"/>
    <w:lsdException w:name="footnote text" w:uiPriority="99" w:semiHidden="1"/>
    <w:lsdException w:name="annotation text" w:semiHidden="1" w:qFormat="1"/>
    <w:lsdException w:name="caption" w:uiPriority="35" w:qFormat="1"/>
    <w:lsdException w:name="footnote reference" w:uiPriority="99" w:semiHidden="1"/>
    <w:lsdException w:name="annotation reference" w:semiHidden="1" w:qFormat="1"/>
    <w:lsdException w:name="Title" w:uiPriority="10" w:qFormat="1"/>
    <w:lsdException w:name="Default Paragraph Font" w:uiPriority="1" w:semiHidden="1" w:unhideWhenUsed="1"/>
    <w:lsdException w:name="Subtitle" w:uiPriority="11" w:qFormat="1"/>
    <w:lsdException w:name="Body Text 3" w:qFormat="1"/>
    <w:lsdException w:name="Strong" w:uiPriority="22" w:qFormat="1"/>
    <w:lsdException w:name="Emphasis" w:uiPriority="20" w:qFormat="1"/>
    <w:lsdException w:name="E-mail Signature" w:uiPriority="99" w:unhideWhenUsed="1" w:qFormat="1"/>
    <w:lsdException w:name="HTML Top of Form" w:uiPriority="99" w:semiHidden="1" w:unhideWhenUsed="1"/>
    <w:lsdException w:name="HTML Bottom of Form" w:uiPriority="99" w:semiHidden="1" w:unhideWhenUsed="1"/>
    <w:lsdException w:name="Normal (Web)" w:qFormat="1"/>
    <w:lsdException w:name="Normal Table" w:uiPriority="99" w:semiHidden="1" w:unhideWhenUsed="1"/>
    <w:lsdException w:name="annotation subject" w:semiHidden="1" w:qFormat="1"/>
    <w:lsdException w:name="No List" w:uiPriority="99" w:semiHidden="1" w:unhideWhenUsed="1"/>
    <w:lsdException w:name="Outline List 1" w:uiPriority="99" w:semiHidden="1" w:unhideWhenUsed="1"/>
    <w:lsdException w:name="Outline List 2" w:uiPriority="99" w:semiHidden="1" w:unhideWhenUsed="1"/>
    <w:lsdException w:name="Outline List 3" w:uiPriority="99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等线" w:cs="Times New Roman" w:eastAsiaTheme="minorEastAsia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Normal"/>
    <w:next w:val="Normal"/>
    <w:link w:val="12"/>
    <w:uiPriority w:val="9"/>
    <w:qFormat/>
    <w:pPr>
      <w:keepNext w:val="true"/>
      <w:jc w:val="center"/>
      <w:outlineLvl w:val="0"/>
    </w:pPr>
    <w:rPr>
      <w:b/>
      <w:sz w:val="24"/>
      <w:szCs w:val="20"/>
      <w:lang w:val="zh-CN" w:eastAsia="zh-CN"/>
    </w:rPr>
  </w:style>
  <w:style w:type="paragraph" w:styleId="Heading2">
    <w:name w:val="Heading 2"/>
    <w:basedOn w:val="Normal"/>
    <w:next w:val="Normal"/>
    <w:link w:val="2"/>
    <w:uiPriority w:val="9"/>
    <w:qFormat/>
    <w:pPr>
      <w:keepNext w:val="true"/>
      <w:spacing w:before="240" w:after="60"/>
      <w:outlineLvl w:val="1"/>
    </w:pPr>
    <w:rPr>
      <w:rFonts w:ascii="Arial" w:hAnsi="Arial"/>
      <w:b/>
      <w:bCs/>
      <w:i/>
      <w:iCs/>
      <w:lang w:val="zh-CN" w:eastAsia="zh-CN"/>
    </w:rPr>
  </w:style>
  <w:style w:type="paragraph" w:styleId="Heading3">
    <w:name w:val="Heading 3"/>
    <w:basedOn w:val="Normal"/>
    <w:next w:val="Normal"/>
    <w:link w:val="3"/>
    <w:uiPriority w:val="9"/>
    <w:qFormat/>
    <w:pPr>
      <w:keepNext w:val="true"/>
      <w:spacing w:before="240" w:after="60"/>
      <w:outlineLvl w:val="2"/>
    </w:pPr>
    <w:rPr>
      <w:rFonts w:ascii="Arial" w:hAnsi="Arial"/>
      <w:b/>
      <w:bCs/>
      <w:sz w:val="26"/>
      <w:szCs w:val="26"/>
      <w:lang w:val="zh-CN" w:eastAsia="zh-CN"/>
    </w:rPr>
  </w:style>
  <w:style w:type="paragraph" w:styleId="Heading4">
    <w:name w:val="Heading 4"/>
    <w:basedOn w:val="Normal"/>
    <w:next w:val="Normal"/>
    <w:link w:val="4"/>
    <w:uiPriority w:val="9"/>
    <w:qFormat/>
    <w:pPr>
      <w:keepNext w:val="true"/>
      <w:spacing w:before="240" w:after="60"/>
      <w:outlineLvl w:val="3"/>
    </w:pPr>
    <w:rPr>
      <w:b/>
      <w:bCs/>
      <w:lang w:val="zh-CN" w:eastAsia="zh-CN"/>
    </w:rPr>
  </w:style>
  <w:style w:type="paragraph" w:styleId="Heading5">
    <w:name w:val="Heading 5"/>
    <w:basedOn w:val="Normal"/>
    <w:next w:val="Normal"/>
    <w:link w:val="5"/>
    <w:uiPriority w:val="9"/>
    <w:qFormat/>
    <w:pPr>
      <w:spacing w:before="240" w:after="60"/>
      <w:outlineLvl w:val="4"/>
    </w:pPr>
    <w:rPr>
      <w:b/>
      <w:bCs/>
      <w:i/>
      <w:iCs/>
      <w:sz w:val="26"/>
      <w:szCs w:val="26"/>
      <w:lang w:val="zh-CN" w:eastAsia="zh-CN"/>
    </w:rPr>
  </w:style>
  <w:style w:type="paragraph" w:styleId="Heading6">
    <w:name w:val="Heading 6"/>
    <w:basedOn w:val="Normal"/>
    <w:next w:val="Normal"/>
    <w:link w:val="6"/>
    <w:uiPriority w:val="9"/>
    <w:qFormat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zh-CN" w:eastAsia="zh-CN"/>
    </w:rPr>
  </w:style>
  <w:style w:type="paragraph" w:styleId="Heading7">
    <w:name w:val="Heading 7"/>
    <w:basedOn w:val="Normal"/>
    <w:next w:val="Normal"/>
    <w:link w:val="7"/>
    <w:uiPriority w:val="9"/>
    <w:qFormat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zh-CN" w:eastAsia="zh-CN"/>
    </w:rPr>
  </w:style>
  <w:style w:type="paragraph" w:styleId="Heading8">
    <w:name w:val="Heading 8"/>
    <w:basedOn w:val="Normal"/>
    <w:next w:val="Normal"/>
    <w:link w:val="8"/>
    <w:uiPriority w:val="9"/>
    <w:qFormat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zh-CN" w:eastAsia="zh-CN"/>
    </w:rPr>
  </w:style>
  <w:style w:type="paragraph" w:styleId="Heading9">
    <w:name w:val="Heading 9"/>
    <w:basedOn w:val="Normal"/>
    <w:next w:val="Normal"/>
    <w:link w:val="9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val="zh-CN" w:eastAsia="zh-C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нак сноски1"/>
    <w:qFormat/>
    <w:rPr>
      <w:vertAlign w:val="superscript"/>
    </w:rPr>
  </w:style>
  <w:style w:type="character" w:styleId="FootnoteCharacters" w:customStyle="1">
    <w:name w:val="Footnote Characters"/>
    <w:uiPriority w:val="99"/>
    <w:semiHidden/>
    <w:qFormat/>
    <w:rPr>
      <w:vertAlign w:val="superscript"/>
    </w:rPr>
  </w:style>
  <w:style w:type="character" w:styleId="Annotationreference">
    <w:name w:val="annotation reference"/>
    <w:semiHidden/>
    <w:qFormat/>
    <w:rPr>
      <w:sz w:val="16"/>
      <w:szCs w:val="16"/>
    </w:rPr>
  </w:style>
  <w:style w:type="character" w:styleId="Emphasis">
    <w:name w:val="Emphasis"/>
    <w:uiPriority w:val="20"/>
    <w:qFormat/>
    <w:rPr>
      <w:i/>
      <w:iCs/>
    </w:rPr>
  </w:style>
  <w:style w:type="character" w:styleId="11" w:customStyle="1">
    <w:name w:val="Гиперссылка1"/>
    <w:qFormat/>
    <w:rPr>
      <w:color w:val="0000FF"/>
      <w:u w:val="single"/>
    </w:rPr>
  </w:style>
  <w:style w:type="character" w:styleId="Pagenumber">
    <w:name w:val="page number"/>
    <w:basedOn w:val="DefaultParagraphFont"/>
    <w:qFormat/>
    <w:rPr/>
  </w:style>
  <w:style w:type="character" w:styleId="Strong">
    <w:name w:val="Strong"/>
    <w:uiPriority w:val="22"/>
    <w:qFormat/>
    <w:rPr>
      <w:b/>
      <w:bCs/>
    </w:rPr>
  </w:style>
  <w:style w:type="character" w:styleId="6" w:customStyle="1">
    <w:name w:val="Заголовок 6 Знак"/>
    <w:uiPriority w:val="9"/>
    <w:qFormat/>
    <w:rPr>
      <w:rFonts w:ascii="Cambria" w:hAnsi="Cambria"/>
      <w:i/>
      <w:iCs/>
      <w:color w:val="243F60"/>
      <w:lang w:val="zh-CN" w:eastAsia="zh-CN"/>
    </w:rPr>
  </w:style>
  <w:style w:type="character" w:styleId="7" w:customStyle="1">
    <w:name w:val="Заголовок 7 Знак"/>
    <w:uiPriority w:val="9"/>
    <w:qFormat/>
    <w:rPr>
      <w:rFonts w:ascii="Cambria" w:hAnsi="Cambria"/>
      <w:i/>
      <w:iCs/>
      <w:color w:val="404040"/>
      <w:lang w:val="zh-CN" w:eastAsia="zh-CN"/>
    </w:rPr>
  </w:style>
  <w:style w:type="character" w:styleId="8" w:customStyle="1">
    <w:name w:val="Заголовок 8 Знак"/>
    <w:uiPriority w:val="9"/>
    <w:qFormat/>
    <w:rPr>
      <w:rFonts w:ascii="Cambria" w:hAnsi="Cambria"/>
      <w:color w:val="4F81BD"/>
      <w:lang w:val="zh-CN" w:eastAsia="zh-CN"/>
    </w:rPr>
  </w:style>
  <w:style w:type="character" w:styleId="12" w:customStyle="1">
    <w:name w:val="Заголовок 1 Знак"/>
    <w:uiPriority w:val="9"/>
    <w:qFormat/>
    <w:rPr>
      <w:b/>
      <w:sz w:val="24"/>
    </w:rPr>
  </w:style>
  <w:style w:type="character" w:styleId="2" w:customStyle="1">
    <w:name w:val="Заголовок 2 Знак"/>
    <w:uiPriority w:val="9"/>
    <w:qFormat/>
    <w:rPr>
      <w:rFonts w:ascii="Arial" w:hAnsi="Arial" w:cs="Arial"/>
      <w:b/>
      <w:bCs/>
      <w:i/>
      <w:iCs/>
      <w:sz w:val="28"/>
      <w:szCs w:val="28"/>
    </w:rPr>
  </w:style>
  <w:style w:type="character" w:styleId="3" w:customStyle="1">
    <w:name w:val="Заголовок 3 Знак"/>
    <w:uiPriority w:val="9"/>
    <w:qFormat/>
    <w:rPr>
      <w:rFonts w:ascii="Arial" w:hAnsi="Arial" w:cs="Arial"/>
      <w:b/>
      <w:bCs/>
      <w:sz w:val="26"/>
      <w:szCs w:val="26"/>
    </w:rPr>
  </w:style>
  <w:style w:type="character" w:styleId="4" w:customStyle="1">
    <w:name w:val="Заголовок 4 Знак"/>
    <w:uiPriority w:val="9"/>
    <w:qFormat/>
    <w:rPr>
      <w:b/>
      <w:bCs/>
      <w:sz w:val="28"/>
      <w:szCs w:val="28"/>
    </w:rPr>
  </w:style>
  <w:style w:type="character" w:styleId="5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Style" w:customStyle="1">
    <w:name w:val="Название Знак"/>
    <w:link w:val="111"/>
    <w:uiPriority w:val="10"/>
    <w:qFormat/>
    <w:rPr>
      <w:sz w:val="28"/>
    </w:rPr>
  </w:style>
  <w:style w:type="character" w:styleId="Style1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  <w:lang w:val="zh-CN" w:eastAsia="zh-CN"/>
    </w:rPr>
  </w:style>
  <w:style w:type="character" w:styleId="21" w:customStyle="1">
    <w:name w:val="Цитата 2 Знак"/>
    <w:link w:val="Quote"/>
    <w:uiPriority w:val="29"/>
    <w:qFormat/>
    <w:rPr>
      <w:rFonts w:ascii="Calibri" w:hAnsi="Calibri" w:eastAsia="Calibri"/>
      <w:i/>
      <w:iCs/>
      <w:color w:val="000000"/>
      <w:lang w:val="zh-CN" w:eastAsia="zh-CN"/>
    </w:rPr>
  </w:style>
  <w:style w:type="character" w:styleId="Style2" w:customStyle="1">
    <w:name w:val="Выделенная цитата Знак"/>
    <w:link w:val="IntenseQuote"/>
    <w:uiPriority w:val="30"/>
    <w:qFormat/>
    <w:rPr>
      <w:rFonts w:ascii="Calibri" w:hAnsi="Calibri" w:eastAsia="Calibri"/>
      <w:b/>
      <w:bCs/>
      <w:i/>
      <w:iCs/>
      <w:color w:val="4F81BD"/>
      <w:lang w:val="zh-CN" w:eastAsia="zh-CN"/>
    </w:rPr>
  </w:style>
  <w:style w:type="character" w:styleId="13" w:customStyle="1">
    <w:name w:val="Слабое выделение1"/>
    <w:uiPriority w:val="19"/>
    <w:qFormat/>
    <w:rPr>
      <w:i/>
      <w:iCs/>
      <w:color w:val="808080"/>
    </w:rPr>
  </w:style>
  <w:style w:type="character" w:styleId="14" w:customStyle="1">
    <w:name w:val="Сильное выделение1"/>
    <w:uiPriority w:val="21"/>
    <w:qFormat/>
    <w:rPr>
      <w:b/>
      <w:bCs/>
      <w:i/>
      <w:iCs/>
      <w:color w:val="4F81BD"/>
    </w:rPr>
  </w:style>
  <w:style w:type="character" w:styleId="15" w:customStyle="1">
    <w:name w:val="Слабая ссылка1"/>
    <w:uiPriority w:val="31"/>
    <w:qFormat/>
    <w:rPr>
      <w:smallCaps/>
      <w:color w:val="C0504D"/>
      <w:u w:val="single"/>
    </w:rPr>
  </w:style>
  <w:style w:type="character" w:styleId="16" w:customStyle="1">
    <w:name w:val="Сильная ссылка1"/>
    <w:uiPriority w:val="32"/>
    <w:qFormat/>
    <w:rPr>
      <w:b/>
      <w:bCs/>
      <w:smallCaps/>
      <w:color w:val="C0504D"/>
      <w:spacing w:val="5"/>
      <w:u w:val="single"/>
    </w:rPr>
  </w:style>
  <w:style w:type="character" w:styleId="17" w:customStyle="1">
    <w:name w:val="Название книги1"/>
    <w:uiPriority w:val="33"/>
    <w:qFormat/>
    <w:rPr>
      <w:b/>
      <w:bCs/>
      <w:smallCaps/>
      <w:spacing w:val="5"/>
    </w:rPr>
  </w:style>
  <w:style w:type="character" w:styleId="Style3" w:customStyle="1">
    <w:name w:val="Электронная подпись Знак"/>
    <w:link w:val="E-mailSignature"/>
    <w:uiPriority w:val="99"/>
    <w:qFormat/>
    <w:rPr>
      <w:rFonts w:eastAsia="Calibri"/>
      <w:sz w:val="24"/>
      <w:szCs w:val="24"/>
    </w:rPr>
  </w:style>
  <w:style w:type="character" w:styleId="18" w:customStyle="1">
    <w:name w:val="Подпункт Знак1"/>
    <w:link w:val="Style14"/>
    <w:qFormat/>
    <w:locked/>
    <w:rPr>
      <w:sz w:val="28"/>
    </w:rPr>
  </w:style>
  <w:style w:type="character" w:styleId="Style4" w:customStyle="1">
    <w:name w:val="Текст сноски Знак"/>
    <w:uiPriority w:val="99"/>
    <w:semiHidden/>
    <w:qFormat/>
    <w:rPr/>
  </w:style>
  <w:style w:type="character" w:styleId="Style5" w:customStyle="1">
    <w:name w:val="Основной текст Знак"/>
    <w:qFormat/>
    <w:rPr>
      <w:sz w:val="28"/>
      <w:szCs w:val="28"/>
    </w:rPr>
  </w:style>
  <w:style w:type="character" w:styleId="Style6" w:customStyle="1">
    <w:name w:val="Абзац списка Знак"/>
    <w:link w:val="ListParagraph"/>
    <w:uiPriority w:val="34"/>
    <w:qFormat/>
    <w:rPr>
      <w:rFonts w:eastAsia="Calibri"/>
      <w:sz w:val="24"/>
      <w:szCs w:val="24"/>
    </w:rPr>
  </w:style>
  <w:style w:type="character" w:styleId="19" w:customStyle="1">
    <w:name w:val="Просмотренная гиперссылка1"/>
    <w:basedOn w:val="DefaultParagraphFont"/>
    <w:qFormat/>
    <w:rsid w:val="009c5439"/>
    <w:rPr>
      <w:color w:val="954F72" w:themeColor="followedHyperlink"/>
      <w:u w:val="single"/>
    </w:rPr>
  </w:style>
  <w:style w:type="character" w:styleId="Style7" w:customStyle="1">
    <w:name w:val="Основной текст с отступом Знак"/>
    <w:basedOn w:val="DefaultParagraphFont"/>
    <w:qFormat/>
    <w:rsid w:val="0030620c"/>
    <w:rPr>
      <w:sz w:val="24"/>
      <w:szCs w:val="24"/>
    </w:rPr>
  </w:style>
  <w:style w:type="paragraph" w:styleId="Style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link w:val="Style5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9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Caption111" w:customStyle="1">
    <w:name w:val="caption111"/>
    <w:basedOn w:val="Normal"/>
    <w:next w:val="Normal"/>
    <w:uiPriority w:val="35"/>
    <w:qFormat/>
    <w:pPr/>
    <w:rPr>
      <w:rFonts w:eastAsia="Calibri"/>
      <w:b/>
      <w:bCs/>
      <w:color w:val="4F81BD"/>
      <w:sz w:val="18"/>
      <w:szCs w:val="18"/>
    </w:rPr>
  </w:style>
  <w:style w:type="paragraph" w:styleId="Indexheading111" w:customStyle="1">
    <w:name w:val="index heading111"/>
    <w:basedOn w:val="Title"/>
    <w:qFormat/>
    <w:pPr/>
    <w:rPr/>
  </w:style>
  <w:style w:type="paragraph" w:styleId="BalloonText">
    <w:name w:val="Balloon Text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odyTextIndent3">
    <w:name w:val="Body Text Indent 3"/>
    <w:basedOn w:val="Normal"/>
    <w:qFormat/>
    <w:pPr>
      <w:spacing w:before="0" w:after="120"/>
      <w:ind w:left="283" w:hanging="0"/>
    </w:pPr>
    <w:rPr>
      <w:sz w:val="16"/>
      <w:szCs w:val="16"/>
    </w:rPr>
  </w:style>
  <w:style w:type="paragraph" w:styleId="Annotationtext">
    <w:name w:val="annotation text"/>
    <w:basedOn w:val="Normal"/>
    <w:semiHidden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pPr/>
    <w:rPr>
      <w:b/>
      <w:bCs/>
    </w:rPr>
  </w:style>
  <w:style w:type="paragraph" w:styleId="FootnoteText">
    <w:name w:val="Footnote Text"/>
    <w:basedOn w:val="Normal"/>
    <w:link w:val="Style4"/>
    <w:uiPriority w:val="99"/>
    <w:semiHidden/>
    <w:pPr/>
    <w:rPr>
      <w:sz w:val="20"/>
      <w:szCs w:val="20"/>
    </w:rPr>
  </w:style>
  <w:style w:type="paragraph" w:styleId="Style10" w:customStyle="1">
    <w:name w:val="Колонтитул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TOC9">
    <w:name w:val="TOC 9"/>
    <w:basedOn w:val="Normal"/>
    <w:next w:val="Normal"/>
    <w:semiHidden/>
    <w:qFormat/>
    <w:pPr>
      <w:ind w:left="2240" w:hanging="0"/>
    </w:pPr>
    <w:rPr/>
  </w:style>
  <w:style w:type="paragraph" w:styleId="TOC1">
    <w:name w:val="TOC 1"/>
    <w:basedOn w:val="Normal"/>
    <w:next w:val="Normal"/>
    <w:uiPriority w:val="39"/>
    <w:pPr>
      <w:tabs>
        <w:tab w:val="clear" w:pos="708"/>
        <w:tab w:val="left" w:pos="426" w:leader="none"/>
        <w:tab w:val="left" w:pos="2268" w:leader="none"/>
        <w:tab w:val="right" w:pos="9639" w:leader="dot"/>
      </w:tabs>
    </w:pPr>
    <w:rPr/>
  </w:style>
  <w:style w:type="paragraph" w:styleId="TOC3">
    <w:name w:val="TOC 3"/>
    <w:basedOn w:val="Normal"/>
    <w:next w:val="Normal"/>
    <w:uiPriority w:val="39"/>
    <w:pPr>
      <w:ind w:left="560" w:hanging="0"/>
    </w:pPr>
    <w:rPr/>
  </w:style>
  <w:style w:type="paragraph" w:styleId="TOC2">
    <w:name w:val="TOC 2"/>
    <w:basedOn w:val="Normal"/>
    <w:next w:val="Normal"/>
    <w:uiPriority w:val="39"/>
    <w:qFormat/>
    <w:pPr>
      <w:ind w:left="280" w:hanging="0"/>
    </w:pPr>
    <w:rPr/>
  </w:style>
  <w:style w:type="paragraph" w:styleId="TOC4">
    <w:name w:val="TOC 4"/>
    <w:basedOn w:val="Normal"/>
    <w:next w:val="Normal"/>
    <w:semiHidden/>
    <w:qFormat/>
    <w:pPr>
      <w:ind w:left="840" w:hanging="0"/>
    </w:pPr>
    <w:rPr/>
  </w:style>
  <w:style w:type="paragraph" w:styleId="TOC5">
    <w:name w:val="TOC 5"/>
    <w:basedOn w:val="Normal"/>
    <w:next w:val="Normal"/>
    <w:semiHidden/>
    <w:qFormat/>
    <w:pPr>
      <w:ind w:left="1120" w:hanging="0"/>
    </w:pPr>
    <w:rPr/>
  </w:style>
  <w:style w:type="paragraph" w:styleId="BodyTextIndent">
    <w:name w:val="Body Text Indent"/>
    <w:basedOn w:val="Normal"/>
    <w:link w:val="Style7"/>
    <w:pPr>
      <w:ind w:left="360" w:hanging="0"/>
    </w:pPr>
    <w:rPr>
      <w:sz w:val="24"/>
      <w:szCs w:val="24"/>
    </w:rPr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NormalWeb">
    <w:name w:val="Normal (Web)"/>
    <w:basedOn w:val="Normal"/>
    <w:qFormat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hanging="0"/>
    </w:pPr>
    <w:rPr/>
  </w:style>
  <w:style w:type="paragraph" w:styleId="Subtitle">
    <w:name w:val="Subtitle"/>
    <w:basedOn w:val="Normal"/>
    <w:next w:val="Normal"/>
    <w:link w:val="Style1"/>
    <w:uiPriority w:val="11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zh-CN" w:eastAsia="zh-CN"/>
    </w:rPr>
  </w:style>
  <w:style w:type="paragraph" w:styleId="BlockText">
    <w:name w:val="Block Text"/>
    <w:basedOn w:val="Normal"/>
    <w:qFormat/>
    <w:pPr>
      <w:ind w:left="-567" w:right="-766" w:hanging="0"/>
      <w:jc w:val="center"/>
    </w:pPr>
    <w:rPr>
      <w:b/>
      <w:bCs/>
      <w:sz w:val="24"/>
      <w:szCs w:val="20"/>
    </w:rPr>
  </w:style>
  <w:style w:type="paragraph" w:styleId="E-mailSignature">
    <w:name w:val="E-mail Signature"/>
    <w:basedOn w:val="Normal"/>
    <w:link w:val="Style3"/>
    <w:uiPriority w:val="99"/>
    <w:unhideWhenUsed/>
    <w:qFormat/>
    <w:pPr/>
    <w:rPr>
      <w:rFonts w:eastAsia="Calibri"/>
      <w:sz w:val="24"/>
      <w:szCs w:val="24"/>
      <w:lang w:val="zh-CN" w:eastAsia="zh-CN"/>
    </w:rPr>
  </w:style>
  <w:style w:type="paragraph" w:styleId="Style11" w:customStyle="1">
    <w:name w:val="Название раздела инструкции"/>
    <w:basedOn w:val="Normal"/>
    <w:qFormat/>
    <w:pPr/>
    <w:rPr>
      <w:b/>
      <w:sz w:val="22"/>
      <w:szCs w:val="22"/>
    </w:rPr>
  </w:style>
  <w:style w:type="paragraph" w:styleId="Style12" w:customStyle="1">
    <w:name w:val="Раздел положения"/>
    <w:basedOn w:val="Normal"/>
    <w:qFormat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13" w:customStyle="1">
    <w:name w:val="Подраздел раздела положения"/>
    <w:basedOn w:val="Normal"/>
    <w:qFormat/>
    <w:pPr>
      <w:numPr>
        <w:ilvl w:val="1"/>
        <w:numId w:val="1"/>
      </w:numPr>
      <w:spacing w:before="80" w:after="80"/>
      <w:jc w:val="both"/>
    </w:pPr>
    <w:rPr/>
  </w:style>
  <w:style w:type="paragraph" w:styleId="110" w:customStyle="1">
    <w:name w:val="Шапка 1"/>
    <w:basedOn w:val="Normal"/>
    <w:qFormat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2" w:customStyle="1">
    <w:name w:val="Шапка 2"/>
    <w:basedOn w:val="Normal"/>
    <w:qFormat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1" w:customStyle="1">
    <w:name w:val="Шапка 3"/>
    <w:basedOn w:val="Normal"/>
    <w:qFormat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11" w:customStyle="1">
    <w:name w:val="Название1"/>
    <w:basedOn w:val="Normal"/>
    <w:link w:val="Style"/>
    <w:uiPriority w:val="10"/>
    <w:qFormat/>
    <w:pPr>
      <w:jc w:val="center"/>
    </w:pPr>
    <w:rPr>
      <w:szCs w:val="20"/>
      <w:lang w:val="zh-CN" w:eastAsia="zh-CN"/>
    </w:rPr>
  </w:style>
  <w:style w:type="paragraph" w:styleId="Style14" w:customStyle="1">
    <w:name w:val="Подпункт"/>
    <w:basedOn w:val="Normal"/>
    <w:link w:val="18"/>
    <w:qFormat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zh-CN" w:eastAsia="zh-CN"/>
    </w:rPr>
  </w:style>
  <w:style w:type="paragraph" w:styleId="23" w:customStyle="1">
    <w:name w:val="Пункт2"/>
    <w:basedOn w:val="Normal"/>
    <w:qFormat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Style15" w:customStyle="1">
    <w:name w:val="Раздел регламента"/>
    <w:basedOn w:val="Normal"/>
    <w:qFormat/>
    <w:pPr/>
    <w:rPr/>
  </w:style>
  <w:style w:type="paragraph" w:styleId="Style16" w:customStyle="1">
    <w:name w:val="Приложение к регламенту"/>
    <w:basedOn w:val="Normal"/>
    <w:qFormat/>
    <w:pPr>
      <w:jc w:val="right"/>
    </w:pPr>
    <w:rPr/>
  </w:style>
  <w:style w:type="paragraph" w:styleId="24" w:customStyle="1">
    <w:name w:val="Раздел положения 2"/>
    <w:basedOn w:val="Normal"/>
    <w:qFormat/>
    <w:pPr>
      <w:pageBreakBefore/>
      <w:jc w:val="both"/>
      <w:outlineLvl w:val="0"/>
    </w:pPr>
    <w:rPr>
      <w:b/>
    </w:rPr>
  </w:style>
  <w:style w:type="paragraph" w:styleId="Style17" w:customStyle="1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pPr>
      <w:spacing w:lineRule="auto" w:line="360"/>
    </w:pPr>
    <w:rPr>
      <w:rFonts w:eastAsia="Calibri"/>
      <w:sz w:val="24"/>
      <w:szCs w:val="24"/>
    </w:rPr>
  </w:style>
  <w:style w:type="paragraph" w:styleId="ListParagraph">
    <w:name w:val="List Paragraph"/>
    <w:basedOn w:val="Normal"/>
    <w:link w:val="Style6"/>
    <w:uiPriority w:val="34"/>
    <w:qFormat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pPr/>
    <w:rPr>
      <w:rFonts w:ascii="Calibri" w:hAnsi="Calibri" w:eastAsia="Calibri"/>
      <w:i/>
      <w:iCs/>
      <w:color w:val="000000"/>
      <w:sz w:val="20"/>
      <w:szCs w:val="20"/>
      <w:lang w:val="zh-CN" w:eastAsia="zh-CN"/>
    </w:rPr>
  </w:style>
  <w:style w:type="paragraph" w:styleId="IntenseQuote">
    <w:name w:val="Intense Quote"/>
    <w:basedOn w:val="Normal"/>
    <w:next w:val="Normal"/>
    <w:link w:val="Style2"/>
    <w:uiPriority w:val="30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zh-CN" w:eastAsia="zh-CN"/>
    </w:rPr>
  </w:style>
  <w:style w:type="paragraph" w:styleId="112" w:customStyle="1">
    <w:name w:val="Заголовок оглавления1"/>
    <w:basedOn w:val="Heading1"/>
    <w:next w:val="Normal"/>
    <w:uiPriority w:val="39"/>
    <w:qFormat/>
    <w:pPr>
      <w:keepLines/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paragraph" w:styleId="Style18" w:customStyle="1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2" w:customStyle="1">
    <w:name w:val="Нумерованный список ур3"/>
    <w:basedOn w:val="Normal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311" w:customStyle="1">
    <w:name w:val="Список 31"/>
    <w:basedOn w:val="Normal"/>
    <w:qFormat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5" w:customStyle="1">
    <w:name w:val="Нумерованный список ур2"/>
    <w:basedOn w:val="Normal"/>
    <w:qFormat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113" w:customStyle="1">
    <w:name w:val="Рецензия1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等线" w:cs="Arial" w:eastAsiaTheme="minorEastAsia"/>
      <w:color w:val="auto"/>
      <w:kern w:val="0"/>
      <w:sz w:val="20"/>
      <w:szCs w:val="20"/>
      <w:lang w:val="ru-RU" w:eastAsia="ru-RU" w:bidi="ar-SA"/>
    </w:rPr>
  </w:style>
  <w:style w:type="paragraph" w:styleId="33" w:customStyle="1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19" w:customStyle="1">
    <w:name w:val="Пункт"/>
    <w:basedOn w:val="Normal"/>
    <w:qFormat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14" w:customStyle="1">
    <w:name w:val="Абзац списка1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0" w:customStyle="1">
    <w:name w:val="Таблица"/>
    <w:basedOn w:val="Normal"/>
    <w:qFormat/>
    <w:pPr/>
    <w:rPr>
      <w:sz w:val="20"/>
      <w:szCs w:val="20"/>
    </w:rPr>
  </w:style>
  <w:style w:type="paragraph" w:styleId="IndexHeading">
    <w:name w:val="Index Heading"/>
    <w:basedOn w:val="Style8"/>
    <w:pPr/>
    <w:rPr/>
  </w:style>
  <w:style w:type="paragraph" w:styleId="TOCHeading">
    <w:name w:val="TOC Heading"/>
    <w:basedOn w:val="Heading1"/>
    <w:next w:val="Normal"/>
    <w:uiPriority w:val="39"/>
    <w:unhideWhenUsed/>
    <w:qFormat/>
    <w:rsid w:val="009c5439"/>
    <w:pPr>
      <w:keepLines/>
      <w:spacing w:lineRule="auto" w:line="259" w:before="240" w:after="0"/>
      <w:jc w:val="left"/>
      <w:outlineLvl w:val="9"/>
    </w:pPr>
    <w:rPr>
      <w:rFonts w:ascii="Calibri Light" w:hAnsi="Calibri Light" w:eastAsia="等线 Light" w:cs="" w:asciiTheme="majorHAnsi" w:cstheme="majorBidi" w:eastAsiaTheme="majorEastAsia" w:hAnsiTheme="majorHAnsi"/>
      <w:b w:val="false"/>
      <w:color w:val="2E74B5" w:themeColor="accent1" w:themeShade="bf"/>
      <w:sz w:val="32"/>
      <w:szCs w:val="32"/>
      <w:lang w:val="ru-RU" w:eastAsia="ru-RU"/>
    </w:rPr>
  </w:style>
  <w:style w:type="paragraph" w:styleId="TableParagraph" w:customStyle="1">
    <w:name w:val="Table Paragraph"/>
    <w:basedOn w:val="Normal"/>
    <w:uiPriority w:val="1"/>
    <w:qFormat/>
    <w:rsid w:val="006558fa"/>
    <w:pPr>
      <w:widowControl w:val="false"/>
    </w:pPr>
    <w:rPr>
      <w:sz w:val="22"/>
      <w:szCs w:val="22"/>
      <w:lang w:eastAsia="en-US"/>
    </w:rPr>
  </w:style>
  <w:style w:type="paragraph" w:styleId="Style21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22" w:customStyle="1">
    <w:name w:val="Заголовок таблицы"/>
    <w:basedOn w:val="Style21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3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0">
    <w:name w:val="Table Grid"/>
    <w:basedOn w:val="a3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f0">
    <w:name w:val="Сетка таблицы1"/>
    <w:basedOn w:val="a3"/>
    <w:uiPriority w:val="39"/>
    <w:rsid w:val="000b4b9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84165-29D4-4360-A638-3F8F1CDDE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AlterOffice/3.4.0.9$Linux_X86_64 LibreOffice_project/b8daf9e823b1a5463a2f48435ddc2e8696e7d4fc</Application>
  <AppVersion>15.0000</AppVersion>
  <Pages>7</Pages>
  <Words>1211</Words>
  <Characters>8175</Characters>
  <CharactersWithSpaces>9086</CharactersWithSpaces>
  <Paragraphs>315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2026-07-23T05:45:00Z</dcterms:created>
  <dc:creator>ErmolaevKA</dc:creator>
  <dc:description/>
  <dc:language>ru-RU</dc:language>
  <cp:lastModifiedBy>shirginyua@Elektra.local</cp:lastModifiedBy>
  <cp:lastPrinted>2026-07-23T05:44:00Z</cp:lastPrinted>
  <dcterms:modified xsi:type="dcterms:W3CDTF">2026-08-07T09:56:46Z</dcterms:modified>
  <cp:revision>4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CE2D845143BA4BA490382C3EE4D28569</vt:lpwstr>
  </property>
  <property fmtid="{D5CDD505-2E9C-101B-9397-08002B2CF9AE}" pid="3" name="KSOProductBuildVer">
    <vt:lpwstr>1049-11.2.0.11254</vt:lpwstr>
  </property>
</Properties>
</file>